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2" w:rightFromText="142" w:vertAnchor="text" w:tblpY="1"/>
        <w:tblOverlap w:val="never"/>
        <w:tblW w:w="15678" w:type="dxa"/>
        <w:tblLayout w:type="fixed"/>
        <w:tblLook w:val="04A0" w:firstRow="1" w:lastRow="0" w:firstColumn="1" w:lastColumn="0" w:noHBand="0" w:noVBand="1"/>
      </w:tblPr>
      <w:tblGrid>
        <w:gridCol w:w="738"/>
        <w:gridCol w:w="2700"/>
        <w:gridCol w:w="3960"/>
        <w:gridCol w:w="8280"/>
      </w:tblGrid>
      <w:tr w:rsidR="00364189" w:rsidRPr="00560ABF" w:rsidTr="00A65B4E">
        <w:trPr>
          <w:tblHeader/>
        </w:trPr>
        <w:tc>
          <w:tcPr>
            <w:tcW w:w="738" w:type="dxa"/>
          </w:tcPr>
          <w:p w:rsidR="00364189" w:rsidRPr="00560ABF" w:rsidRDefault="00364189" w:rsidP="005911C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60ABF"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2700" w:type="dxa"/>
          </w:tcPr>
          <w:p w:rsidR="00364189" w:rsidRDefault="00364189" w:rsidP="005911C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60ABF">
              <w:rPr>
                <w:b/>
                <w:sz w:val="24"/>
                <w:szCs w:val="24"/>
              </w:rPr>
              <w:t xml:space="preserve">Clause </w:t>
            </w:r>
            <w:r>
              <w:rPr>
                <w:b/>
                <w:sz w:val="24"/>
                <w:szCs w:val="24"/>
              </w:rPr>
              <w:t>/Drawing No.</w:t>
            </w:r>
          </w:p>
          <w:p w:rsidR="00364189" w:rsidRPr="00560ABF" w:rsidRDefault="00364189" w:rsidP="005911C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Reference &amp; Description</w:t>
            </w:r>
          </w:p>
        </w:tc>
        <w:tc>
          <w:tcPr>
            <w:tcW w:w="3960" w:type="dxa"/>
          </w:tcPr>
          <w:p w:rsidR="00364189" w:rsidRPr="00560ABF" w:rsidRDefault="00364189" w:rsidP="005911C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Existing Clause</w:t>
            </w:r>
          </w:p>
        </w:tc>
        <w:tc>
          <w:tcPr>
            <w:tcW w:w="8280" w:type="dxa"/>
          </w:tcPr>
          <w:p w:rsidR="00364189" w:rsidRPr="00560ABF" w:rsidRDefault="00364189" w:rsidP="005911C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Amended Clause.</w:t>
            </w:r>
          </w:p>
        </w:tc>
      </w:tr>
      <w:tr w:rsidR="008518F5" w:rsidTr="00A65B4E">
        <w:tc>
          <w:tcPr>
            <w:tcW w:w="738" w:type="dxa"/>
          </w:tcPr>
          <w:p w:rsidR="008518F5" w:rsidRPr="005A09BA" w:rsidRDefault="008518F5" w:rsidP="008518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2700" w:type="dxa"/>
          </w:tcPr>
          <w:p w:rsidR="008518F5" w:rsidRPr="007D3DEF" w:rsidRDefault="008518F5" w:rsidP="008518F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Section-</w:t>
            </w:r>
            <w:r w:rsidRPr="007D3DEF">
              <w:rPr>
                <w:rFonts w:ascii="Times New Roman" w:hAnsi="Times New Roman" w:cs="Times New Roman"/>
                <w:sz w:val="23"/>
                <w:szCs w:val="23"/>
              </w:rPr>
              <w:t xml:space="preserve">Project,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CL. 9.0 (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24 of 89)</w:t>
            </w:r>
          </w:p>
        </w:tc>
        <w:tc>
          <w:tcPr>
            <w:tcW w:w="3960" w:type="dxa"/>
          </w:tcPr>
          <w:p w:rsidR="00964B0A" w:rsidRDefault="008518F5" w:rsidP="00A65B4E">
            <w:pPr>
              <w:pStyle w:val="Default"/>
              <w:rPr>
                <w:b/>
                <w:bCs/>
              </w:rPr>
            </w:pPr>
            <w:r w:rsidRPr="004E4D97">
              <w:rPr>
                <w:b/>
                <w:bCs/>
              </w:rPr>
              <w:t>New Clause</w:t>
            </w:r>
            <w:r w:rsidR="00A65B4E">
              <w:rPr>
                <w:b/>
                <w:bCs/>
              </w:rPr>
              <w:t>s</w:t>
            </w:r>
            <w:r w:rsidRPr="004E4D97">
              <w:rPr>
                <w:b/>
                <w:bCs/>
              </w:rPr>
              <w:t xml:space="preserve"> added</w:t>
            </w:r>
            <w:r w:rsidR="00A65B4E">
              <w:rPr>
                <w:b/>
                <w:bCs/>
              </w:rPr>
              <w:t xml:space="preserve"> </w:t>
            </w:r>
          </w:p>
          <w:p w:rsidR="00964B0A" w:rsidRDefault="00964B0A" w:rsidP="00A65B4E">
            <w:pPr>
              <w:pStyle w:val="Default"/>
              <w:rPr>
                <w:b/>
                <w:bCs/>
              </w:rPr>
            </w:pPr>
          </w:p>
          <w:p w:rsidR="00964B0A" w:rsidRDefault="00964B0A" w:rsidP="00A65B4E">
            <w:pPr>
              <w:pStyle w:val="Default"/>
              <w:rPr>
                <w:b/>
                <w:bCs/>
              </w:rPr>
            </w:pPr>
          </w:p>
          <w:p w:rsidR="00964B0A" w:rsidRDefault="00964B0A" w:rsidP="00A65B4E">
            <w:pPr>
              <w:pStyle w:val="Default"/>
              <w:rPr>
                <w:b/>
                <w:bCs/>
              </w:rPr>
            </w:pPr>
          </w:p>
          <w:p w:rsidR="008518F5" w:rsidRPr="004E4D97" w:rsidRDefault="008518F5" w:rsidP="00A65B4E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280" w:type="dxa"/>
          </w:tcPr>
          <w:p w:rsidR="008518F5" w:rsidRPr="00A65B4E" w:rsidRDefault="008518F5" w:rsidP="008518F5">
            <w:pPr>
              <w:pStyle w:val="Heading1"/>
              <w:numPr>
                <w:ilvl w:val="0"/>
                <w:numId w:val="4"/>
              </w:numPr>
              <w:tabs>
                <w:tab w:val="clear" w:pos="1080"/>
              </w:tabs>
              <w:suppressAutoHyphens/>
              <w:overflowPunct w:val="0"/>
              <w:autoSpaceDE w:val="0"/>
              <w:spacing w:after="0" w:line="240" w:lineRule="auto"/>
              <w:jc w:val="left"/>
              <w:textAlignment w:val="baseline"/>
              <w:outlineLvl w:val="0"/>
              <w:rPr>
                <w:rFonts w:ascii="Times New Roman" w:hAnsi="Times New Roman"/>
                <w:bCs/>
                <w:sz w:val="24"/>
              </w:rPr>
            </w:pPr>
            <w:r w:rsidRPr="00A65B4E">
              <w:rPr>
                <w:rFonts w:ascii="Times New Roman" w:hAnsi="Times New Roman"/>
                <w:bCs/>
                <w:sz w:val="24"/>
              </w:rPr>
              <w:t>SPECIFIC REQUIREMENT</w:t>
            </w:r>
          </w:p>
          <w:p w:rsidR="008518F5" w:rsidRPr="004E4D97" w:rsidRDefault="008518F5" w:rsidP="008518F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  <w:p w:rsidR="00A65B4E" w:rsidRDefault="008518F5" w:rsidP="005569DA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702" w:hanging="630"/>
              <w:rPr>
                <w:rFonts w:ascii="Times New Roman" w:eastAsiaTheme="minorHAnsi" w:hAnsi="Times New Roman" w:cs="Times New Roman"/>
                <w:iCs/>
              </w:rPr>
            </w:pP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All equipment/materials/items, as per </w:t>
            </w:r>
            <w:r w:rsidRPr="005569DA">
              <w:rPr>
                <w:rFonts w:ascii="Times New Roman" w:eastAsiaTheme="minorHAnsi" w:hAnsi="Times New Roman" w:cs="Times New Roman"/>
                <w:b/>
                <w:iCs/>
              </w:rPr>
              <w:t>Annexure-XX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, as applicable under present scope</w:t>
            </w:r>
            <w:r w:rsidR="00A65B4E"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of works, shall be procured and supplied from domestic manufacturers only.</w:t>
            </w:r>
          </w:p>
          <w:p w:rsidR="005569DA" w:rsidRPr="005569DA" w:rsidRDefault="005569DA" w:rsidP="005569DA">
            <w:pPr>
              <w:pStyle w:val="ListParagraph"/>
              <w:autoSpaceDE w:val="0"/>
              <w:autoSpaceDN w:val="0"/>
              <w:adjustRightInd w:val="0"/>
              <w:ind w:left="702"/>
              <w:rPr>
                <w:rFonts w:ascii="Times New Roman" w:eastAsiaTheme="minorHAnsi" w:hAnsi="Times New Roman" w:cs="Times New Roman"/>
                <w:iCs/>
              </w:rPr>
            </w:pPr>
          </w:p>
          <w:p w:rsidR="00A65B4E" w:rsidRDefault="00A65B4E" w:rsidP="005569DA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702" w:hanging="630"/>
              <w:rPr>
                <w:rFonts w:ascii="Times New Roman" w:eastAsiaTheme="minorHAnsi" w:hAnsi="Times New Roman" w:cs="Times New Roman"/>
                <w:iCs/>
              </w:rPr>
            </w:pP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Any </w:t>
            </w:r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>imported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>equipment/material/item/parts/component to be supplied under the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>contract shall be tested in the certified laboratories to check for any kind of embedded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>malware/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 Trojans</w:t>
            </w:r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>/cyber threats and for adherence to Indian Standards as per the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>directions issued by Ministry of Power/Govt. of India from time to time. In case of such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 xml:space="preserve">import from specified </w:t>
            </w:r>
            <w:bookmarkStart w:id="0" w:name="_GoBack"/>
            <w:bookmarkEnd w:id="0"/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>“prior reference” countries, the requirement of prior permission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>from the Govt. of India including protocol for testing in certified and designated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>laboratories by Ministry of Power/Govt.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>of India shall also be complied with by the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="008518F5" w:rsidRPr="005569DA">
              <w:rPr>
                <w:rFonts w:ascii="Times New Roman" w:eastAsiaTheme="minorHAnsi" w:hAnsi="Times New Roman" w:cs="Times New Roman"/>
                <w:iCs/>
              </w:rPr>
              <w:t>contractor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.</w:t>
            </w:r>
          </w:p>
          <w:p w:rsidR="005569DA" w:rsidRPr="005569DA" w:rsidRDefault="005569DA" w:rsidP="005569DA">
            <w:pPr>
              <w:pStyle w:val="ListParagraph"/>
              <w:rPr>
                <w:rFonts w:ascii="Times New Roman" w:eastAsiaTheme="minorHAnsi" w:hAnsi="Times New Roman" w:cs="Times New Roman"/>
                <w:iCs/>
              </w:rPr>
            </w:pPr>
          </w:p>
          <w:p w:rsidR="00A65B4E" w:rsidRDefault="008518F5" w:rsidP="005569DA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702" w:hanging="630"/>
              <w:rPr>
                <w:rFonts w:ascii="Times New Roman" w:eastAsiaTheme="minorHAnsi" w:hAnsi="Times New Roman" w:cs="Times New Roman"/>
                <w:iCs/>
              </w:rPr>
            </w:pPr>
            <w:r w:rsidRPr="005569DA">
              <w:rPr>
                <w:rFonts w:ascii="Times New Roman" w:eastAsiaTheme="minorHAnsi" w:hAnsi="Times New Roman" w:cs="Times New Roman"/>
                <w:iCs/>
              </w:rPr>
              <w:t>The equipment offered by the contractor shall at least conform to the requirements</w:t>
            </w:r>
            <w:r w:rsidR="00A65B4E"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specified under relevant IS standard. In case of discrepancy between IS and other</w:t>
            </w:r>
            <w:r w:rsidR="00A65B4E"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international standard, provisions of IS shall prevail. The Contractor shall also note</w:t>
            </w:r>
            <w:r w:rsidR="00A65B4E"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that the list of standards presented in this specification is not complete. Whenever</w:t>
            </w:r>
            <w:r w:rsidR="00A65B4E"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necessary, the list of standards shall be considered in conjunction with specific IS. If</w:t>
            </w:r>
            <w:r w:rsidR="00A65B4E"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the IS standard is not available for an equipment/material, then other applicable</w:t>
            </w:r>
            <w:r w:rsidR="00A65B4E"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International standard (IEC/Equivalent), as per the specification, shall be accepted.”</w:t>
            </w:r>
          </w:p>
          <w:p w:rsidR="005569DA" w:rsidRPr="005569DA" w:rsidRDefault="005569DA" w:rsidP="005569DA">
            <w:pPr>
              <w:pStyle w:val="ListParagraph"/>
              <w:rPr>
                <w:rFonts w:ascii="Times New Roman" w:eastAsiaTheme="minorHAnsi" w:hAnsi="Times New Roman" w:cs="Times New Roman"/>
                <w:iCs/>
              </w:rPr>
            </w:pPr>
          </w:p>
          <w:p w:rsidR="00A65B4E" w:rsidRDefault="008518F5" w:rsidP="005569DA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702" w:hanging="630"/>
              <w:rPr>
                <w:rFonts w:ascii="Times New Roman" w:eastAsiaTheme="minorHAnsi" w:hAnsi="Times New Roman" w:cs="Times New Roman"/>
                <w:iCs/>
              </w:rPr>
            </w:pPr>
            <w:r w:rsidRPr="005569DA">
              <w:rPr>
                <w:rFonts w:ascii="Times New Roman" w:eastAsiaTheme="minorHAnsi" w:hAnsi="Times New Roman" w:cs="Times New Roman"/>
                <w:iCs/>
              </w:rPr>
              <w:t>The bidder/contractor shall list out the products and components producing Toxic e</w:t>
            </w:r>
            <w:r w:rsidR="00267FEF">
              <w:rPr>
                <w:rFonts w:ascii="Times New Roman" w:eastAsiaTheme="minorHAnsi" w:hAnsi="Times New Roman" w:cs="Times New Roman"/>
                <w:iCs/>
              </w:rPr>
              <w:t>-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waste</w:t>
            </w:r>
            <w:r w:rsidR="00A65B4E"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under the contract and shall furnish to the Employer the procedure of safe</w:t>
            </w:r>
            <w:r w:rsidR="00A65B4E" w:rsidRPr="005569DA">
              <w:rPr>
                <w:rFonts w:ascii="Times New Roman" w:eastAsiaTheme="minorHAnsi" w:hAnsi="Times New Roman" w:cs="Times New Roman"/>
                <w:iCs/>
              </w:rPr>
              <w:t xml:space="preserve"> 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t>disposal at the time of closing of the contract.</w:t>
            </w:r>
          </w:p>
          <w:p w:rsidR="005569DA" w:rsidRPr="005569DA" w:rsidRDefault="005569DA" w:rsidP="005569DA">
            <w:pPr>
              <w:pStyle w:val="ListParagraph"/>
              <w:rPr>
                <w:rFonts w:ascii="Times New Roman" w:eastAsiaTheme="minorHAnsi" w:hAnsi="Times New Roman" w:cs="Times New Roman"/>
                <w:iCs/>
              </w:rPr>
            </w:pPr>
          </w:p>
          <w:p w:rsidR="00A65B4E" w:rsidRPr="005569DA" w:rsidRDefault="00A65B4E" w:rsidP="005569DA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702" w:hanging="630"/>
              <w:rPr>
                <w:rFonts w:ascii="Times New Roman" w:eastAsiaTheme="minorHAnsi" w:hAnsi="Times New Roman" w:cs="Times New Roman"/>
                <w:iCs/>
              </w:rPr>
            </w:pPr>
            <w:r w:rsidRPr="005569DA">
              <w:rPr>
                <w:rFonts w:ascii="Times New Roman" w:eastAsiaTheme="minorHAnsi" w:hAnsi="Times New Roman" w:cs="Times New Roman"/>
                <w:iCs/>
              </w:rPr>
              <w:t xml:space="preserve">Mandatory Spares, wherever mentioned, are envisaged for the equipment/items being supplied under the main equipment heads under present scope meeting the requirements of Technical Specifications. The component/sub-component of an </w:t>
            </w:r>
            <w:r w:rsidRPr="005569DA">
              <w:rPr>
                <w:rFonts w:ascii="Times New Roman" w:eastAsiaTheme="minorHAnsi" w:hAnsi="Times New Roman" w:cs="Times New Roman"/>
                <w:iCs/>
              </w:rPr>
              <w:lastRenderedPageBreak/>
              <w:t>equipment/item specified in BPS under Mandatory Spare, which is not applicable as per the offered design of respective main equipment, shall not be referred to.</w:t>
            </w:r>
          </w:p>
          <w:p w:rsidR="008518F5" w:rsidRPr="004E4D97" w:rsidRDefault="008518F5" w:rsidP="008518F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…</w:t>
            </w:r>
          </w:p>
        </w:tc>
      </w:tr>
    </w:tbl>
    <w:p w:rsidR="00BC2809" w:rsidRDefault="00BC2809"/>
    <w:sectPr w:rsidR="00BC2809" w:rsidSect="00364189">
      <w:headerReference w:type="default" r:id="rId7"/>
      <w:footerReference w:type="default" r:id="rId8"/>
      <w:pgSz w:w="16838" w:h="11906" w:orient="landscape"/>
      <w:pgMar w:top="1601" w:right="728" w:bottom="1440" w:left="630" w:header="4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017" w:rsidRDefault="009E7017" w:rsidP="00526E54">
      <w:r>
        <w:separator/>
      </w:r>
    </w:p>
  </w:endnote>
  <w:endnote w:type="continuationSeparator" w:id="0">
    <w:p w:rsidR="009E7017" w:rsidRDefault="009E7017" w:rsidP="0052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665" w:rsidRDefault="00587665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90F75" w:rsidRPr="00490F75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587665" w:rsidRDefault="00587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017" w:rsidRDefault="009E7017" w:rsidP="00526E54">
      <w:r>
        <w:separator/>
      </w:r>
    </w:p>
  </w:footnote>
  <w:footnote w:type="continuationSeparator" w:id="0">
    <w:p w:rsidR="009E7017" w:rsidRDefault="009E7017" w:rsidP="00526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9F0" w:rsidRPr="00807B69" w:rsidRDefault="001269F0" w:rsidP="001269F0">
    <w:pPr>
      <w:rPr>
        <w:rFonts w:ascii="Arial" w:hAnsi="Arial" w:cs="Arial"/>
        <w:b/>
      </w:rPr>
    </w:pPr>
    <w:r>
      <w:rPr>
        <w:rFonts w:ascii="Arial" w:hAnsi="Arial" w:cs="Arial"/>
        <w:b/>
        <w:bCs/>
      </w:rPr>
      <w:t>Amendment</w:t>
    </w:r>
    <w:r w:rsidRPr="00C416BC">
      <w:rPr>
        <w:rFonts w:ascii="Arial" w:hAnsi="Arial" w:cs="Arial"/>
        <w:b/>
        <w:bCs/>
      </w:rPr>
      <w:t xml:space="preserve"> </w:t>
    </w:r>
    <w:r w:rsidR="00490F75">
      <w:rPr>
        <w:rFonts w:ascii="Arial" w:hAnsi="Arial" w:cs="Arial"/>
        <w:b/>
        <w:bCs/>
      </w:rPr>
      <w:t>No.-6 dated 16</w:t>
    </w:r>
    <w:r>
      <w:rPr>
        <w:rFonts w:ascii="Arial" w:hAnsi="Arial" w:cs="Arial"/>
        <w:b/>
        <w:bCs/>
      </w:rPr>
      <w:t>.08</w:t>
    </w:r>
    <w:r w:rsidRPr="00C416BC">
      <w:rPr>
        <w:rFonts w:ascii="Arial" w:hAnsi="Arial" w:cs="Arial"/>
        <w:b/>
        <w:bCs/>
      </w:rPr>
      <w:t>.2020</w:t>
    </w:r>
    <w:r w:rsidRPr="008B244D">
      <w:rPr>
        <w:rFonts w:ascii="Arial" w:hAnsi="Arial" w:cs="Arial"/>
        <w:b/>
        <w:bCs/>
      </w:rPr>
      <w:t xml:space="preserve"> </w:t>
    </w:r>
    <w:r w:rsidRPr="001B6048">
      <w:rPr>
        <w:rFonts w:ascii="Arial" w:hAnsi="Arial" w:cs="Arial"/>
        <w:b/>
        <w:bCs/>
      </w:rPr>
      <w:t>to the Bidding Doc</w:t>
    </w:r>
    <w:r w:rsidRPr="00590B1D">
      <w:rPr>
        <w:rFonts w:ascii="Arial" w:hAnsi="Arial" w:cs="Arial"/>
        <w:b/>
        <w:bCs/>
      </w:rPr>
      <w:t xml:space="preserve">uments for </w:t>
    </w:r>
    <w:r w:rsidRPr="00807B69">
      <w:rPr>
        <w:rFonts w:ascii="Arial" w:hAnsi="Arial" w:cs="Arial"/>
        <w:b/>
        <w:u w:val="single"/>
      </w:rPr>
      <w:t>STATCOM Package-I</w:t>
    </w:r>
    <w:r w:rsidRPr="00807B69">
      <w:rPr>
        <w:rFonts w:ascii="Arial" w:hAnsi="Arial" w:cs="Arial"/>
        <w:b/>
      </w:rPr>
      <w:t xml:space="preserve"> for STATCOM at 400kV </w:t>
    </w:r>
    <w:proofErr w:type="spellStart"/>
    <w:r w:rsidRPr="00807B69">
      <w:rPr>
        <w:rFonts w:ascii="Arial" w:hAnsi="Arial" w:cs="Arial"/>
        <w:b/>
      </w:rPr>
      <w:t>Fatehgarh</w:t>
    </w:r>
    <w:proofErr w:type="spellEnd"/>
    <w:r w:rsidRPr="00807B69">
      <w:rPr>
        <w:rFonts w:ascii="Arial" w:hAnsi="Arial" w:cs="Arial"/>
        <w:b/>
      </w:rPr>
      <w:t xml:space="preserve">-II PS; and </w:t>
    </w:r>
    <w:r w:rsidRPr="00807B69">
      <w:rPr>
        <w:rFonts w:ascii="Arial" w:hAnsi="Arial" w:cs="Arial"/>
        <w:b/>
        <w:u w:val="single"/>
      </w:rPr>
      <w:t>STATCOM Package-II</w:t>
    </w:r>
    <w:r w:rsidRPr="00807B69">
      <w:rPr>
        <w:rFonts w:ascii="Arial" w:hAnsi="Arial" w:cs="Arial"/>
        <w:b/>
      </w:rPr>
      <w:t xml:space="preserve"> for STATCOM at 400kV </w:t>
    </w:r>
    <w:proofErr w:type="spellStart"/>
    <w:r w:rsidRPr="00807B69">
      <w:rPr>
        <w:rFonts w:ascii="Arial" w:hAnsi="Arial" w:cs="Arial"/>
        <w:b/>
      </w:rPr>
      <w:t>Bhadla</w:t>
    </w:r>
    <w:proofErr w:type="spellEnd"/>
    <w:r w:rsidRPr="00807B69">
      <w:rPr>
        <w:rFonts w:ascii="Arial" w:hAnsi="Arial" w:cs="Arial"/>
        <w:b/>
      </w:rPr>
      <w:t>-II PS; associated with Transmission System Strengthening Scheme for Evacuation of Power from Solar Energy Zones in Rajasthan (8.1GW) under Phase-II-Part B1.</w:t>
    </w:r>
  </w:p>
  <w:p w:rsidR="001269F0" w:rsidRPr="00807B69" w:rsidRDefault="001269F0" w:rsidP="001269F0">
    <w:pPr>
      <w:pBdr>
        <w:bottom w:val="single" w:sz="4" w:space="1" w:color="auto"/>
      </w:pBdr>
      <w:ind w:left="720" w:hanging="720"/>
      <w:rPr>
        <w:rFonts w:ascii="Arial" w:hAnsi="Arial" w:cs="Arial"/>
        <w:b/>
        <w:bCs/>
      </w:rPr>
    </w:pPr>
    <w:r w:rsidRPr="00807B69">
      <w:rPr>
        <w:rFonts w:ascii="Arial" w:hAnsi="Arial" w:cs="Arial"/>
        <w:b/>
        <w:bCs/>
      </w:rPr>
      <w:t xml:space="preserve">Specification No.: </w:t>
    </w:r>
    <w:r w:rsidRPr="00807B69">
      <w:rPr>
        <w:rFonts w:ascii="Arial" w:hAnsi="Arial" w:cs="Arial"/>
        <w:b/>
        <w:bCs/>
      </w:rPr>
      <w:tab/>
      <w:t>CC-CS/997-NR1/STATCOM-4123/3/G3 (for Package-I); and</w:t>
    </w:r>
  </w:p>
  <w:p w:rsidR="001269F0" w:rsidRPr="00807B69" w:rsidRDefault="001269F0" w:rsidP="001269F0">
    <w:pPr>
      <w:pBdr>
        <w:bottom w:val="single" w:sz="4" w:space="1" w:color="auto"/>
      </w:pBdr>
      <w:ind w:left="720" w:hanging="720"/>
      <w:rPr>
        <w:rFonts w:ascii="Arial" w:hAnsi="Arial" w:cs="Arial"/>
        <w:b/>
        <w:bCs/>
      </w:rPr>
    </w:pPr>
    <w:r w:rsidRPr="00807B69">
      <w:rPr>
        <w:rFonts w:ascii="Arial" w:hAnsi="Arial" w:cs="Arial"/>
        <w:b/>
        <w:bCs/>
      </w:rPr>
      <w:tab/>
    </w:r>
    <w:r w:rsidRPr="00807B69">
      <w:rPr>
        <w:rFonts w:ascii="Arial" w:hAnsi="Arial" w:cs="Arial"/>
        <w:b/>
        <w:bCs/>
      </w:rPr>
      <w:tab/>
    </w:r>
    <w:r w:rsidRPr="00807B69">
      <w:rPr>
        <w:rFonts w:ascii="Arial" w:hAnsi="Arial" w:cs="Arial"/>
        <w:b/>
        <w:bCs/>
      </w:rPr>
      <w:tab/>
      <w:t>CC-CS/997-NR1/STATCOM-4124/3/G3 (for Package-II)</w:t>
    </w:r>
  </w:p>
  <w:p w:rsidR="00526E54" w:rsidRPr="001269F0" w:rsidRDefault="00526E54" w:rsidP="001269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3B00"/>
    <w:multiLevelType w:val="multilevel"/>
    <w:tmpl w:val="B3E4CAD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6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bCs w:val="0"/>
        <w:i w:val="0"/>
        <w:iCs/>
        <w:strike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34293D78"/>
    <w:multiLevelType w:val="multilevel"/>
    <w:tmpl w:val="904429A0"/>
    <w:lvl w:ilvl="0">
      <w:start w:val="9"/>
      <w:numFmt w:val="decimal"/>
      <w:lvlText w:val="%1.0"/>
      <w:lvlJc w:val="left"/>
      <w:pPr>
        <w:ind w:left="360" w:hanging="360"/>
      </w:pPr>
      <w:rPr>
        <w:rFonts w:cs="Times New Roman" w:hint="default"/>
        <w:b/>
        <w:bCs/>
        <w:i w:val="0"/>
        <w:iCs/>
      </w:rPr>
    </w:lvl>
    <w:lvl w:ilvl="1">
      <w:start w:val="1"/>
      <w:numFmt w:val="none"/>
      <w:lvlText w:val="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none"/>
      <w:lvlText w:val="2.3.1"/>
      <w:lvlJc w:val="left"/>
      <w:pPr>
        <w:ind w:left="180" w:hanging="720"/>
      </w:pPr>
      <w:rPr>
        <w:rFonts w:cs="Times New Roman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cs="Times New Roman" w:hint="default"/>
        <w:b/>
        <w:bCs w:val="0"/>
      </w:rPr>
    </w:lvl>
    <w:lvl w:ilvl="4">
      <w:start w:val="1"/>
      <w:numFmt w:val="decimal"/>
      <w:lvlText w:val="%1.%2.%3.%4.%5"/>
      <w:lvlJc w:val="left"/>
      <w:pPr>
        <w:ind w:left="907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792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59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672" w:hanging="1800"/>
      </w:pPr>
      <w:rPr>
        <w:rFonts w:cs="Times New Roman" w:hint="default"/>
      </w:rPr>
    </w:lvl>
  </w:abstractNum>
  <w:abstractNum w:abstractNumId="2" w15:restartNumberingAfterBreak="0">
    <w:nsid w:val="56F06C39"/>
    <w:multiLevelType w:val="hybridMultilevel"/>
    <w:tmpl w:val="442E29F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F3B3006"/>
    <w:multiLevelType w:val="multilevel"/>
    <w:tmpl w:val="360A722E"/>
    <w:lvl w:ilvl="0">
      <w:start w:val="1"/>
      <w:numFmt w:val="decimal"/>
      <w:pStyle w:val="Heading1"/>
      <w:lvlText w:val="%1."/>
      <w:lvlJc w:val="left"/>
      <w:pPr>
        <w:ind w:left="501" w:hanging="360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7"/>
        </w:tabs>
        <w:ind w:left="717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350"/>
        </w:tabs>
        <w:ind w:left="135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3435"/>
        </w:tabs>
        <w:ind w:left="3435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149"/>
        </w:tabs>
        <w:ind w:left="1149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293"/>
        </w:tabs>
        <w:ind w:left="1293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37"/>
        </w:tabs>
        <w:ind w:left="1437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1"/>
        </w:tabs>
        <w:ind w:left="1581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25"/>
        </w:tabs>
        <w:ind w:left="1725" w:hanging="1584"/>
      </w:pPr>
      <w:rPr>
        <w:rFonts w:cs="Times New Roman" w:hint="default"/>
      </w:rPr>
    </w:lvl>
  </w:abstractNum>
  <w:abstractNum w:abstractNumId="4" w15:restartNumberingAfterBreak="0">
    <w:nsid w:val="68F72871"/>
    <w:multiLevelType w:val="multilevel"/>
    <w:tmpl w:val="B3E4CAD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6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bCs w:val="0"/>
        <w:i w:val="0"/>
        <w:iCs/>
        <w:strike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7C7B3DBF"/>
    <w:multiLevelType w:val="multilevel"/>
    <w:tmpl w:val="B3E4CAD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6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bCs w:val="0"/>
        <w:i w:val="0"/>
        <w:iCs/>
        <w:strike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FFE"/>
    <w:rsid w:val="001269F0"/>
    <w:rsid w:val="00267FEF"/>
    <w:rsid w:val="002E289F"/>
    <w:rsid w:val="00315DF5"/>
    <w:rsid w:val="00364189"/>
    <w:rsid w:val="00397154"/>
    <w:rsid w:val="00490F75"/>
    <w:rsid w:val="00526E54"/>
    <w:rsid w:val="005569DA"/>
    <w:rsid w:val="00587665"/>
    <w:rsid w:val="007148CD"/>
    <w:rsid w:val="00835231"/>
    <w:rsid w:val="00847D35"/>
    <w:rsid w:val="008518F5"/>
    <w:rsid w:val="00864C98"/>
    <w:rsid w:val="00964B0A"/>
    <w:rsid w:val="009E7017"/>
    <w:rsid w:val="00A009A4"/>
    <w:rsid w:val="00A65B4E"/>
    <w:rsid w:val="00A91911"/>
    <w:rsid w:val="00BC2809"/>
    <w:rsid w:val="00C253B3"/>
    <w:rsid w:val="00C73FFE"/>
    <w:rsid w:val="00EA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17B1A0A"/>
  <w15:docId w15:val="{F984EFE7-27F3-4322-B0FE-7EE6E06E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231"/>
    <w:pPr>
      <w:spacing w:after="0" w:line="240" w:lineRule="auto"/>
      <w:jc w:val="both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18F5"/>
    <w:pPr>
      <w:keepNext/>
      <w:numPr>
        <w:numId w:val="2"/>
      </w:numPr>
      <w:tabs>
        <w:tab w:val="left" w:pos="1080"/>
      </w:tabs>
      <w:spacing w:after="60" w:line="320" w:lineRule="exact"/>
      <w:outlineLvl w:val="0"/>
    </w:pPr>
    <w:rPr>
      <w:rFonts w:ascii="Verdana" w:eastAsia="Times New Roman" w:hAnsi="Verdana" w:cs="Times New Roman"/>
      <w:b/>
      <w:sz w:val="28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18F5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Times New Roman" w:hAnsi="Arial" w:cs="Times New Roman"/>
      <w:b/>
      <w:i/>
      <w:sz w:val="24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18F5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18F5"/>
    <w:pPr>
      <w:keepNext/>
      <w:numPr>
        <w:ilvl w:val="3"/>
        <w:numId w:val="2"/>
      </w:numPr>
      <w:tabs>
        <w:tab w:val="left" w:pos="1080"/>
      </w:tabs>
      <w:spacing w:after="60" w:line="320" w:lineRule="exact"/>
      <w:jc w:val="center"/>
      <w:outlineLvl w:val="3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18F5"/>
    <w:pPr>
      <w:keepNext/>
      <w:numPr>
        <w:ilvl w:val="4"/>
        <w:numId w:val="2"/>
      </w:numPr>
      <w:tabs>
        <w:tab w:val="left" w:pos="1080"/>
      </w:tabs>
      <w:spacing w:after="60" w:line="320" w:lineRule="exact"/>
      <w:outlineLvl w:val="4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18F5"/>
    <w:pPr>
      <w:keepNext/>
      <w:numPr>
        <w:ilvl w:val="5"/>
        <w:numId w:val="2"/>
      </w:numPr>
      <w:tabs>
        <w:tab w:val="left" w:pos="1080"/>
      </w:tabs>
      <w:spacing w:before="60" w:after="60" w:line="320" w:lineRule="exact"/>
      <w:jc w:val="center"/>
      <w:outlineLvl w:val="5"/>
    </w:pPr>
    <w:rPr>
      <w:rFonts w:ascii="Times" w:eastAsia="Times New Roman" w:hAnsi="Times" w:cs="Times New Roman"/>
      <w:b/>
      <w:sz w:val="24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18F5"/>
    <w:pPr>
      <w:numPr>
        <w:ilvl w:val="6"/>
        <w:numId w:val="2"/>
      </w:numPr>
      <w:spacing w:before="240" w:after="60"/>
      <w:jc w:val="left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18F5"/>
    <w:pPr>
      <w:numPr>
        <w:ilvl w:val="7"/>
        <w:numId w:val="2"/>
      </w:numPr>
      <w:spacing w:before="240" w:after="60"/>
      <w:jc w:val="lef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18F5"/>
    <w:pPr>
      <w:numPr>
        <w:ilvl w:val="8"/>
        <w:numId w:val="2"/>
      </w:numPr>
      <w:spacing w:before="240" w:after="60"/>
      <w:jc w:val="left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5231"/>
    <w:pPr>
      <w:spacing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5231"/>
    <w:pPr>
      <w:ind w:left="720"/>
      <w:contextualSpacing/>
    </w:pPr>
  </w:style>
  <w:style w:type="paragraph" w:customStyle="1" w:styleId="Default">
    <w:name w:val="Default"/>
    <w:rsid w:val="008352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26E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E5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26E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E54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E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E54"/>
    <w:rPr>
      <w:rFonts w:ascii="Tahoma" w:eastAsiaTheme="minorEastAsi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8518F5"/>
    <w:rPr>
      <w:rFonts w:ascii="Verdana" w:eastAsia="Times New Roman" w:hAnsi="Verdana" w:cs="Times New Roman"/>
      <w:b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8518F5"/>
    <w:rPr>
      <w:rFonts w:ascii="Arial" w:eastAsia="Times New Roman" w:hAnsi="Arial" w:cs="Times New Roman"/>
      <w:b/>
      <w:i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8518F5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8518F5"/>
    <w:rPr>
      <w:rFonts w:ascii="Times" w:eastAsia="Times New Roman" w:hAnsi="Times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8518F5"/>
    <w:rPr>
      <w:rFonts w:ascii="Times" w:eastAsia="Times New Roman" w:hAnsi="Times" w:cs="Times New Roman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8518F5"/>
    <w:rPr>
      <w:rFonts w:ascii="Times" w:eastAsia="Times New Roman" w:hAnsi="Times" w:cs="Times New Roman"/>
      <w:b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8518F5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8518F5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8518F5"/>
    <w:rPr>
      <w:rFonts w:ascii="Arial" w:eastAsia="Times New Roma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Amendment-3 Technical (before 1st Stage Bid Submission) dated 13.08.2020 for STATCOM Package-I for STATCOM at 400kV Fatehgarh-II PS; and STATCOM Package-II for STATCOM at 400kV Bhadla-II PS; associated with Transmission System Strengthening Scheme for Eva</vt:lpstr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Amendment-3 Technical (before 1st Stage Bid Submission) dated 13.08.2020 for STATCOM Package-I for STATCOM at 400kV Fatehgarh-II PS; and STATCOM Package-II for STATCOM at 400kV Bhadla-II PS; associated with Transmission System Strengthening Scheme for Evacuation of Power from Solar Energy Zones in Rajasthan (8.1GW) under Phase-II-Part B1.                                                                                                                                                             SPECIFICATION NO. 	:  CC-CS/997-NR1/STATCOM-4123/3/G3 (for Package-I); and CC-CS/997-NR1/STATCOM-4124/3/G3 (for Package-II)</dc:title>
  <dc:subject/>
  <dc:creator>DEEPAK K</dc:creator>
  <cp:keywords/>
  <dc:description/>
  <cp:lastModifiedBy>Satendra S. Sengar</cp:lastModifiedBy>
  <cp:revision>14</cp:revision>
  <dcterms:created xsi:type="dcterms:W3CDTF">2020-05-25T07:40:00Z</dcterms:created>
  <dcterms:modified xsi:type="dcterms:W3CDTF">2020-08-16T16:20:00Z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